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Name:</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Professor:</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Course:</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Date:</w:t>
      </w:r>
      <w:bookmarkStart w:id="0" w:name="_GoBack"/>
      <w:bookmarkEnd w:id="0"/>
    </w:p>
    <w:p w:rsidR="001050A9" w:rsidRPr="002A3091" w:rsidRDefault="00A54BFB" w:rsidP="002A3091">
      <w:pPr>
        <w:spacing w:line="480" w:lineRule="auto"/>
        <w:jc w:val="center"/>
        <w:rPr>
          <w:rFonts w:ascii="Times New Roman" w:hAnsi="Times New Roman"/>
          <w:sz w:val="24"/>
          <w:szCs w:val="24"/>
        </w:rPr>
      </w:pPr>
      <w:r w:rsidRPr="002A3091">
        <w:rPr>
          <w:rFonts w:ascii="Times New Roman" w:hAnsi="Times New Roman"/>
          <w:sz w:val="24"/>
          <w:szCs w:val="24"/>
        </w:rPr>
        <w:t>Week 3: Clinical Case Study Part Two Discussion</w:t>
      </w:r>
    </w:p>
    <w:p w:rsidR="001050A9" w:rsidRPr="002A3091" w:rsidRDefault="00A54BFB" w:rsidP="002A3091">
      <w:pPr>
        <w:spacing w:line="480" w:lineRule="auto"/>
        <w:rPr>
          <w:rFonts w:ascii="Times New Roman" w:hAnsi="Times New Roman"/>
          <w:b/>
          <w:bCs/>
          <w:sz w:val="24"/>
          <w:szCs w:val="24"/>
        </w:rPr>
      </w:pPr>
      <w:r w:rsidRPr="002A3091">
        <w:rPr>
          <w:rFonts w:ascii="Times New Roman" w:hAnsi="Times New Roman"/>
          <w:sz w:val="24"/>
          <w:szCs w:val="24"/>
        </w:rPr>
        <w:t xml:space="preserve">1. </w:t>
      </w:r>
      <w:r w:rsidRPr="002A3091">
        <w:rPr>
          <w:rFonts w:ascii="Times New Roman" w:hAnsi="Times New Roman"/>
          <w:b/>
          <w:bCs/>
          <w:sz w:val="24"/>
          <w:szCs w:val="24"/>
        </w:rPr>
        <w:t xml:space="preserve">Primary Diagnosis </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 xml:space="preserve">The primary diagnosis at this time can be allergic conjunctivitis. Although there were differential diagnosis, including viral conjunctivitis, subconjuctival hemorrhage, and bacterial conjunctivitis, they were ruled out based on the medications given. </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The</w:t>
      </w:r>
      <w:r w:rsidRPr="002A3091">
        <w:rPr>
          <w:rFonts w:ascii="Times New Roman" w:hAnsi="Times New Roman"/>
          <w:sz w:val="24"/>
          <w:szCs w:val="24"/>
        </w:rPr>
        <w:t xml:space="preserve"> symptoms of allergic conjunctivitis can be diffuse tearing, redness in both eyes, itching, a runny nose, and a gritty feeling. In the review of systems, it was identified that the patient had an occasional runny nose, there was a positive test for itching</w:t>
      </w:r>
      <w:r w:rsidRPr="002A3091">
        <w:rPr>
          <w:rFonts w:ascii="Times New Roman" w:hAnsi="Times New Roman"/>
          <w:sz w:val="24"/>
          <w:szCs w:val="24"/>
        </w:rPr>
        <w:t>, redness, and tearing. These symptoms are consistent with the symptoms of allergic conjunctivitis. The reason why viral conjunctivitis has been ruled out is because there was no watery discharge. Subconjuctival hemorrhage was ruled out because the patient</w:t>
      </w:r>
      <w:r w:rsidRPr="002A3091">
        <w:rPr>
          <w:rFonts w:ascii="Times New Roman" w:hAnsi="Times New Roman"/>
          <w:sz w:val="24"/>
          <w:szCs w:val="24"/>
        </w:rPr>
        <w:t xml:space="preserve"> did not report any heavy lifting, cough, or rub the eyes roughly. Bacterial conjunctivitis was ruled out because there was no purulent discharge, mucopurulent secretion, or excessive pain.</w:t>
      </w:r>
    </w:p>
    <w:p w:rsidR="001050A9" w:rsidRPr="002A3091" w:rsidRDefault="00A54BFB" w:rsidP="002A3091">
      <w:pPr>
        <w:spacing w:line="480" w:lineRule="auto"/>
        <w:rPr>
          <w:rFonts w:ascii="Times New Roman" w:hAnsi="Times New Roman"/>
          <w:b/>
          <w:bCs/>
          <w:sz w:val="24"/>
          <w:szCs w:val="24"/>
        </w:rPr>
      </w:pPr>
      <w:r w:rsidRPr="002A3091">
        <w:rPr>
          <w:rFonts w:ascii="Times New Roman" w:hAnsi="Times New Roman"/>
          <w:sz w:val="24"/>
          <w:szCs w:val="24"/>
        </w:rPr>
        <w:t xml:space="preserve">2. </w:t>
      </w:r>
      <w:r w:rsidRPr="002A3091">
        <w:rPr>
          <w:rFonts w:ascii="Times New Roman" w:hAnsi="Times New Roman"/>
          <w:b/>
          <w:bCs/>
          <w:sz w:val="24"/>
          <w:szCs w:val="24"/>
        </w:rPr>
        <w:t>ICD-10 Code</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The corresponding ICD-10 code for allergic conjunct</w:t>
      </w:r>
      <w:r w:rsidRPr="002A3091">
        <w:rPr>
          <w:rFonts w:ascii="Times New Roman" w:hAnsi="Times New Roman"/>
          <w:sz w:val="24"/>
          <w:szCs w:val="24"/>
        </w:rPr>
        <w:t>ivitis is H10. 45, which is a classification listed by WHO under the diseases of the eyes and adnexa.</w:t>
      </w:r>
    </w:p>
    <w:p w:rsidR="001050A9" w:rsidRPr="002A3091" w:rsidRDefault="00A54BFB" w:rsidP="002A3091">
      <w:pPr>
        <w:spacing w:line="480" w:lineRule="auto"/>
        <w:rPr>
          <w:rFonts w:ascii="Times New Roman" w:hAnsi="Times New Roman"/>
          <w:b/>
          <w:bCs/>
          <w:sz w:val="24"/>
          <w:szCs w:val="24"/>
        </w:rPr>
      </w:pPr>
      <w:r w:rsidRPr="002A3091">
        <w:rPr>
          <w:rFonts w:ascii="Times New Roman" w:hAnsi="Times New Roman"/>
          <w:sz w:val="24"/>
          <w:szCs w:val="24"/>
        </w:rPr>
        <w:lastRenderedPageBreak/>
        <w:t xml:space="preserve">3. </w:t>
      </w:r>
      <w:r w:rsidRPr="002A3091">
        <w:rPr>
          <w:rFonts w:ascii="Times New Roman" w:hAnsi="Times New Roman"/>
          <w:b/>
          <w:bCs/>
          <w:sz w:val="24"/>
          <w:szCs w:val="24"/>
        </w:rPr>
        <w:t xml:space="preserve">Treatment Plan </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There are different mediations that can be used for this disease. Medications can include topical antihistamines, nonsteroidal anti-inf</w:t>
      </w:r>
      <w:r w:rsidRPr="002A3091">
        <w:rPr>
          <w:rFonts w:ascii="Times New Roman" w:hAnsi="Times New Roman"/>
          <w:sz w:val="24"/>
          <w:szCs w:val="24"/>
        </w:rPr>
        <w:t>lammatory drugs, mast cell stabilizers, and corticosteroids (Ventocilla). Antihistamines can either be taken orally or as an eye drop. Oral antihistamines include Loratadine, ceritizine, and fexofenadine. These medicines are taken once daily. Considering t</w:t>
      </w:r>
      <w:r w:rsidRPr="002A3091">
        <w:rPr>
          <w:rFonts w:ascii="Times New Roman" w:hAnsi="Times New Roman"/>
          <w:sz w:val="24"/>
          <w:szCs w:val="24"/>
        </w:rPr>
        <w:t xml:space="preserve">hat the symptoms are not severe, the preferred medication will be 10mg of Loratadine daily and azelastine eye drops, applied twice daily. </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Considering that it is an allergic conjunctivitis, a slit lamp exam will be conducted to determine if there are any f</w:t>
      </w:r>
      <w:r w:rsidRPr="002A3091">
        <w:rPr>
          <w:rFonts w:ascii="Times New Roman" w:hAnsi="Times New Roman"/>
          <w:sz w:val="24"/>
          <w:szCs w:val="24"/>
        </w:rPr>
        <w:t xml:space="preserve">oreign materials in the eye and if there is any external injury. This exam will allow the examination of the entire eye, including the cornea, iris, sclera, conjuctiva, and the white area. </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 xml:space="preserve">The patient will be required to avoid allergens which trigger the </w:t>
      </w:r>
      <w:r w:rsidRPr="002A3091">
        <w:rPr>
          <w:rFonts w:ascii="Times New Roman" w:hAnsi="Times New Roman"/>
          <w:sz w:val="24"/>
          <w:szCs w:val="24"/>
        </w:rPr>
        <w:t xml:space="preserve">problem, use artificial tears to remove the allergens from the eyes, avoid rubbing the eyes roughly, and avoid the use of contact lenses. Also, the patient should learn to perform cold or warm compresses of the eye using a soft cloth to sooth the eyes and </w:t>
      </w:r>
      <w:r w:rsidRPr="002A3091">
        <w:rPr>
          <w:rFonts w:ascii="Times New Roman" w:hAnsi="Times New Roman"/>
          <w:sz w:val="24"/>
          <w:szCs w:val="24"/>
        </w:rPr>
        <w:t xml:space="preserve">reduce soreness. </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 xml:space="preserve">If the symptoms persist, the patient will be referred to an ophthalmologist. </w:t>
      </w:r>
    </w:p>
    <w:p w:rsidR="001050A9" w:rsidRPr="002A3091" w:rsidRDefault="00A54BFB" w:rsidP="002A3091">
      <w:pPr>
        <w:spacing w:line="480" w:lineRule="auto"/>
        <w:rPr>
          <w:rFonts w:ascii="Times New Roman" w:hAnsi="Times New Roman"/>
          <w:b/>
          <w:bCs/>
          <w:sz w:val="24"/>
          <w:szCs w:val="24"/>
        </w:rPr>
      </w:pPr>
      <w:r w:rsidRPr="002A3091">
        <w:rPr>
          <w:rFonts w:ascii="Times New Roman" w:hAnsi="Times New Roman"/>
          <w:b/>
          <w:bCs/>
          <w:sz w:val="24"/>
          <w:szCs w:val="24"/>
        </w:rPr>
        <w:t xml:space="preserve">4. Active Problem List </w:t>
      </w:r>
    </w:p>
    <w:p w:rsidR="001050A9" w:rsidRPr="002A3091" w:rsidRDefault="00A54BFB" w:rsidP="002A3091">
      <w:pPr>
        <w:pStyle w:val="ListParagraph"/>
        <w:numPr>
          <w:ilvl w:val="0"/>
          <w:numId w:val="1"/>
        </w:numPr>
        <w:spacing w:line="480" w:lineRule="auto"/>
        <w:rPr>
          <w:rFonts w:ascii="Times New Roman" w:hAnsi="Times New Roman"/>
          <w:sz w:val="24"/>
          <w:szCs w:val="24"/>
        </w:rPr>
      </w:pPr>
      <w:r w:rsidRPr="002A3091">
        <w:rPr>
          <w:rFonts w:ascii="Times New Roman" w:hAnsi="Times New Roman"/>
          <w:sz w:val="24"/>
          <w:szCs w:val="24"/>
        </w:rPr>
        <w:t xml:space="preserve">Red eyes </w:t>
      </w:r>
    </w:p>
    <w:p w:rsidR="001050A9" w:rsidRPr="002A3091" w:rsidRDefault="00A54BFB" w:rsidP="002A3091">
      <w:pPr>
        <w:pStyle w:val="ListParagraph"/>
        <w:numPr>
          <w:ilvl w:val="0"/>
          <w:numId w:val="1"/>
        </w:numPr>
        <w:spacing w:line="480" w:lineRule="auto"/>
        <w:rPr>
          <w:rFonts w:ascii="Times New Roman" w:hAnsi="Times New Roman"/>
          <w:sz w:val="24"/>
          <w:szCs w:val="24"/>
        </w:rPr>
      </w:pPr>
      <w:r w:rsidRPr="002A3091">
        <w:rPr>
          <w:rFonts w:ascii="Times New Roman" w:hAnsi="Times New Roman"/>
          <w:sz w:val="24"/>
          <w:szCs w:val="24"/>
        </w:rPr>
        <w:t xml:space="preserve">Itching </w:t>
      </w:r>
    </w:p>
    <w:p w:rsidR="001050A9" w:rsidRPr="002A3091" w:rsidRDefault="00A54BFB" w:rsidP="002A3091">
      <w:pPr>
        <w:pStyle w:val="ListParagraph"/>
        <w:numPr>
          <w:ilvl w:val="0"/>
          <w:numId w:val="1"/>
        </w:numPr>
        <w:spacing w:line="480" w:lineRule="auto"/>
        <w:rPr>
          <w:rFonts w:ascii="Times New Roman" w:hAnsi="Times New Roman"/>
          <w:sz w:val="24"/>
          <w:szCs w:val="24"/>
        </w:rPr>
      </w:pPr>
      <w:r w:rsidRPr="002A3091">
        <w:rPr>
          <w:rFonts w:ascii="Times New Roman" w:hAnsi="Times New Roman"/>
          <w:sz w:val="24"/>
          <w:szCs w:val="24"/>
        </w:rPr>
        <w:t xml:space="preserve">Tearing </w:t>
      </w:r>
    </w:p>
    <w:p w:rsidR="001050A9" w:rsidRPr="002A3091" w:rsidRDefault="00A54BFB" w:rsidP="002A3091">
      <w:pPr>
        <w:pStyle w:val="ListParagraph"/>
        <w:numPr>
          <w:ilvl w:val="0"/>
          <w:numId w:val="1"/>
        </w:numPr>
        <w:spacing w:line="480" w:lineRule="auto"/>
        <w:rPr>
          <w:rFonts w:ascii="Times New Roman" w:hAnsi="Times New Roman"/>
          <w:sz w:val="24"/>
          <w:szCs w:val="24"/>
        </w:rPr>
      </w:pPr>
      <w:r w:rsidRPr="002A3091">
        <w:rPr>
          <w:rFonts w:ascii="Times New Roman" w:hAnsi="Times New Roman"/>
          <w:sz w:val="24"/>
          <w:szCs w:val="24"/>
        </w:rPr>
        <w:t xml:space="preserve">Running nose </w:t>
      </w:r>
    </w:p>
    <w:p w:rsidR="001050A9" w:rsidRPr="002A3091" w:rsidRDefault="00A54BFB" w:rsidP="002A3091">
      <w:pPr>
        <w:pStyle w:val="ListParagraph"/>
        <w:numPr>
          <w:ilvl w:val="0"/>
          <w:numId w:val="1"/>
        </w:numPr>
        <w:spacing w:line="480" w:lineRule="auto"/>
        <w:rPr>
          <w:rFonts w:ascii="Times New Roman" w:hAnsi="Times New Roman"/>
          <w:sz w:val="24"/>
          <w:szCs w:val="24"/>
        </w:rPr>
      </w:pPr>
      <w:r w:rsidRPr="002A3091">
        <w:rPr>
          <w:rFonts w:ascii="Times New Roman" w:hAnsi="Times New Roman"/>
          <w:sz w:val="24"/>
          <w:szCs w:val="24"/>
        </w:rPr>
        <w:lastRenderedPageBreak/>
        <w:t>Mild pain in both eyes</w:t>
      </w:r>
    </w:p>
    <w:p w:rsidR="001050A9" w:rsidRPr="002A3091" w:rsidRDefault="00A54BFB" w:rsidP="002A3091">
      <w:pPr>
        <w:pStyle w:val="ListParagraph"/>
        <w:numPr>
          <w:ilvl w:val="0"/>
          <w:numId w:val="1"/>
        </w:numPr>
        <w:spacing w:line="480" w:lineRule="auto"/>
        <w:rPr>
          <w:rFonts w:ascii="Times New Roman" w:hAnsi="Times New Roman"/>
          <w:sz w:val="24"/>
          <w:szCs w:val="24"/>
        </w:rPr>
      </w:pPr>
      <w:r w:rsidRPr="002A3091">
        <w:rPr>
          <w:rFonts w:ascii="Times New Roman" w:hAnsi="Times New Roman"/>
          <w:sz w:val="24"/>
          <w:szCs w:val="24"/>
        </w:rPr>
        <w:t xml:space="preserve">Seasonal allergic rhinitis with springtime triggers. </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b/>
          <w:bCs/>
          <w:sz w:val="24"/>
          <w:szCs w:val="24"/>
        </w:rPr>
        <w:t>5.  Changes to Tr</w:t>
      </w:r>
      <w:r w:rsidRPr="002A3091">
        <w:rPr>
          <w:rFonts w:ascii="Times New Roman" w:hAnsi="Times New Roman"/>
          <w:b/>
          <w:bCs/>
          <w:sz w:val="24"/>
          <w:szCs w:val="24"/>
        </w:rPr>
        <w:t>eatment Plan</w:t>
      </w:r>
      <w:r w:rsidRPr="002A3091">
        <w:rPr>
          <w:rFonts w:ascii="Times New Roman" w:hAnsi="Times New Roman"/>
          <w:sz w:val="24"/>
          <w:szCs w:val="24"/>
        </w:rPr>
        <w:t xml:space="preserve"> </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The change that I will make for the treatment plan is the inclusion of azelastine eye drops, which will be applied twice daily. This medication will be given to ease the gritty feeling and decrease the level of redness of the eyes. A slit lam</w:t>
      </w:r>
      <w:r w:rsidRPr="002A3091">
        <w:rPr>
          <w:rFonts w:ascii="Times New Roman" w:hAnsi="Times New Roman"/>
          <w:sz w:val="24"/>
          <w:szCs w:val="24"/>
        </w:rPr>
        <w:t xml:space="preserve">p exam will be performed to determine whether there are any foreign materials in the eyes, which could be adding to the discomfort. </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b/>
          <w:bCs/>
          <w:sz w:val="24"/>
          <w:szCs w:val="24"/>
        </w:rPr>
        <w:t>6. Follow Up Plan</w:t>
      </w:r>
      <w:r w:rsidRPr="002A3091">
        <w:rPr>
          <w:rFonts w:ascii="Times New Roman" w:hAnsi="Times New Roman"/>
          <w:sz w:val="24"/>
          <w:szCs w:val="24"/>
        </w:rPr>
        <w:t xml:space="preserve"> </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 xml:space="preserve">An appropriate follow up plan will be designed to ensure that the condition of the patient is monitored </w:t>
      </w:r>
      <w:r w:rsidRPr="002A3091">
        <w:rPr>
          <w:rFonts w:ascii="Times New Roman" w:hAnsi="Times New Roman"/>
          <w:sz w:val="24"/>
          <w:szCs w:val="24"/>
        </w:rPr>
        <w:t>and the right action taken. A follow up plan will be done after three days to determine the severity of the symptoms and the effectiveness of the medication. After this period, the patient will be required to provide a history regarding the severity of itc</w:t>
      </w:r>
      <w:r w:rsidRPr="002A3091">
        <w:rPr>
          <w:rFonts w:ascii="Times New Roman" w:hAnsi="Times New Roman"/>
          <w:sz w:val="24"/>
          <w:szCs w:val="24"/>
        </w:rPr>
        <w:t xml:space="preserve">hing, redness, and tearing. The presence of foreign materials and previous medications will also be conducted. </w:t>
      </w:r>
    </w:p>
    <w:p w:rsidR="001050A9" w:rsidRPr="002A3091" w:rsidRDefault="00A54BFB" w:rsidP="002A3091">
      <w:pPr>
        <w:spacing w:line="480" w:lineRule="auto"/>
        <w:jc w:val="center"/>
        <w:rPr>
          <w:rFonts w:ascii="Times New Roman" w:hAnsi="Times New Roman"/>
          <w:sz w:val="24"/>
          <w:szCs w:val="24"/>
        </w:rPr>
      </w:pPr>
      <w:r w:rsidRPr="002A3091">
        <w:rPr>
          <w:rFonts w:ascii="Times New Roman" w:hAnsi="Times New Roman"/>
          <w:sz w:val="24"/>
          <w:szCs w:val="24"/>
        </w:rPr>
        <w:t>References</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https://www.icd10data.com/ICD10CM/Codes/H00-H59/H10-H11/H10-/H10.45</w:t>
      </w:r>
    </w:p>
    <w:p w:rsidR="001050A9" w:rsidRPr="002A3091" w:rsidRDefault="00A54BFB" w:rsidP="002A3091">
      <w:pPr>
        <w:spacing w:line="480" w:lineRule="auto"/>
        <w:rPr>
          <w:rFonts w:ascii="Times New Roman" w:hAnsi="Times New Roman"/>
          <w:sz w:val="24"/>
          <w:szCs w:val="24"/>
        </w:rPr>
      </w:pPr>
      <w:r w:rsidRPr="002A3091">
        <w:rPr>
          <w:rFonts w:ascii="Times New Roman" w:hAnsi="Times New Roman"/>
          <w:sz w:val="24"/>
          <w:szCs w:val="24"/>
        </w:rPr>
        <w:t>Ventocilla, Mark. Allergic Conjunctivitis Treatment &amp; Management.</w:t>
      </w:r>
      <w:r w:rsidRPr="002A3091">
        <w:rPr>
          <w:rFonts w:ascii="Times New Roman" w:hAnsi="Times New Roman"/>
          <w:sz w:val="24"/>
          <w:szCs w:val="24"/>
        </w:rPr>
        <w:t xml:space="preserve"> 2019. https://emedicine.medscape.com/article/1191467-treatment#d1</w:t>
      </w:r>
    </w:p>
    <w:sectPr w:rsidR="001050A9" w:rsidRPr="002A3091">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BFB" w:rsidRDefault="00A54BFB">
      <w:pPr>
        <w:spacing w:after="0" w:line="240" w:lineRule="auto"/>
      </w:pPr>
      <w:r>
        <w:separator/>
      </w:r>
    </w:p>
  </w:endnote>
  <w:endnote w:type="continuationSeparator" w:id="0">
    <w:p w:rsidR="00A54BFB" w:rsidRDefault="00A5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0A9" w:rsidRDefault="001050A9">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BFB" w:rsidRDefault="00A54BFB">
      <w:pPr>
        <w:spacing w:after="0" w:line="240" w:lineRule="auto"/>
      </w:pPr>
      <w:r>
        <w:separator/>
      </w:r>
    </w:p>
  </w:footnote>
  <w:footnote w:type="continuationSeparator" w:id="0">
    <w:p w:rsidR="00A54BFB" w:rsidRDefault="00A54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0A9" w:rsidRDefault="00A54BFB">
    <w:pPr>
      <w:pStyle w:val="Header"/>
      <w:jc w:val="right"/>
    </w:pPr>
    <w:r>
      <w:t>Surname</w:t>
    </w:r>
    <w:r>
      <w:fldChar w:fldCharType="begin"/>
    </w:r>
    <w:r>
      <w:instrText>PAGE</w:instrText>
    </w:r>
    <w:r>
      <w:fldChar w:fldCharType="separate"/>
    </w:r>
    <w:r w:rsidR="002A3091">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A9"/>
    <w:rsid w:val="001050A9"/>
    <w:rsid w:val="002A3091"/>
    <w:rsid w:val="00A5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E0ECA0A-DDA8-4508-B9DE-F6DA36C0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2021-04-30T08:57:00Z</dcterms:created>
  <dcterms:modified xsi:type="dcterms:W3CDTF">2021-04-30T08:57:00Z</dcterms:modified>
</cp:coreProperties>
</file>